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0" w:name="do"/>
      <w:bookmarkStart w:id="1" w:name="_GoBack"/>
      <w:bookmarkEnd w:id="1"/>
      <w:r w:rsidRPr="005A65B6">
        <w:rPr>
          <w:rFonts w:ascii="Verdana" w:eastAsia="Times New Roman" w:hAnsi="Verdana" w:cs="Times New Roman"/>
          <w:b/>
          <w:bCs/>
          <w:noProof/>
          <w:color w:val="333399"/>
          <w:sz w:val="22"/>
          <w:lang w:val="ro-RO" w:eastAsia="ro-RO"/>
        </w:rPr>
        <w:drawing>
          <wp:inline distT="0" distB="0" distL="0" distR="0">
            <wp:extent cx="95250" cy="95250"/>
            <wp:effectExtent l="0" t="0" r="0" b="0"/>
            <wp:docPr id="11" name="Picture 11" descr="C:\Users\Workstatio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Workstatio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A65B6">
        <w:rPr>
          <w:rFonts w:ascii="Verdana" w:eastAsia="Times New Roman" w:hAnsi="Verdana" w:cs="Times New Roman"/>
          <w:b/>
          <w:bCs/>
          <w:sz w:val="26"/>
          <w:szCs w:val="26"/>
          <w:lang w:val="ro-RO" w:eastAsia="ro-RO"/>
        </w:rPr>
        <w:t xml:space="preserve">HOTĂRÂRE nr. 427 din 20 iunie 2019 pentru modificarea </w:t>
      </w:r>
      <w:proofErr w:type="spellStart"/>
      <w:r w:rsidRPr="005A65B6">
        <w:rPr>
          <w:rFonts w:ascii="Verdana" w:eastAsia="Times New Roman" w:hAnsi="Verdana" w:cs="Times New Roman"/>
          <w:b/>
          <w:bCs/>
          <w:sz w:val="26"/>
          <w:szCs w:val="26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b/>
          <w:bCs/>
          <w:sz w:val="26"/>
          <w:szCs w:val="26"/>
          <w:lang w:val="ro-RO" w:eastAsia="ro-RO"/>
        </w:rPr>
        <w:t xml:space="preserve"> completarea Hotărârii Guvernului nr. </w:t>
      </w:r>
      <w:hyperlink r:id="rId6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6"/>
            <w:szCs w:val="26"/>
            <w:u w:val="single"/>
            <w:lang w:val="ro-RO" w:eastAsia="ro-RO"/>
          </w:rPr>
          <w:t>593/2011</w:t>
        </w:r>
      </w:hyperlink>
      <w:r w:rsidRPr="005A65B6">
        <w:rPr>
          <w:rFonts w:ascii="Verdana" w:eastAsia="Times New Roman" w:hAnsi="Verdana" w:cs="Times New Roman"/>
          <w:b/>
          <w:bCs/>
          <w:sz w:val="26"/>
          <w:szCs w:val="26"/>
          <w:lang w:val="ro-RO" w:eastAsia="ro-RO"/>
        </w:rPr>
        <w:t xml:space="preserve"> privind organizarea </w:t>
      </w:r>
      <w:proofErr w:type="spellStart"/>
      <w:r w:rsidRPr="005A65B6">
        <w:rPr>
          <w:rFonts w:ascii="Verdana" w:eastAsia="Times New Roman" w:hAnsi="Verdana" w:cs="Times New Roman"/>
          <w:b/>
          <w:bCs/>
          <w:sz w:val="26"/>
          <w:szCs w:val="26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b/>
          <w:bCs/>
          <w:sz w:val="26"/>
          <w:szCs w:val="26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b/>
          <w:bCs/>
          <w:sz w:val="26"/>
          <w:szCs w:val="26"/>
          <w:lang w:val="ro-RO" w:eastAsia="ro-RO"/>
        </w:rPr>
        <w:t>funcţionarea</w:t>
      </w:r>
      <w:proofErr w:type="spellEnd"/>
      <w:r w:rsidRPr="005A65B6">
        <w:rPr>
          <w:rFonts w:ascii="Verdana" w:eastAsia="Times New Roman" w:hAnsi="Verdana" w:cs="Times New Roman"/>
          <w:b/>
          <w:bCs/>
          <w:sz w:val="26"/>
          <w:szCs w:val="26"/>
          <w:lang w:val="ro-RO" w:eastAsia="ro-RO"/>
        </w:rPr>
        <w:t xml:space="preserve"> Institutului </w:t>
      </w:r>
      <w:proofErr w:type="spellStart"/>
      <w:r w:rsidRPr="005A65B6">
        <w:rPr>
          <w:rFonts w:ascii="Verdana" w:eastAsia="Times New Roman" w:hAnsi="Verdana" w:cs="Times New Roman"/>
          <w:b/>
          <w:bCs/>
          <w:sz w:val="26"/>
          <w:szCs w:val="26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b/>
          <w:bCs/>
          <w:sz w:val="26"/>
          <w:szCs w:val="26"/>
          <w:lang w:val="ro-RO" w:eastAsia="ro-RO"/>
        </w:rPr>
        <w:t xml:space="preserve"> al Patrimoniului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br/>
      </w:r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 xml:space="preserve">Forma sintetică la data 09-Jul-2019. Acest act a fost creat </w:t>
      </w:r>
      <w:proofErr w:type="spellStart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utilizand</w:t>
      </w:r>
      <w:proofErr w:type="spellEnd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 xml:space="preserve"> tehnologia </w:t>
      </w:r>
      <w:proofErr w:type="spellStart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SintAct</w:t>
      </w:r>
      <w:proofErr w:type="spellEnd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 xml:space="preserve">®-Acte Sintetice. </w:t>
      </w:r>
      <w:proofErr w:type="spellStart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SintAct</w:t>
      </w:r>
      <w:proofErr w:type="spellEnd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 xml:space="preserve">® </w:t>
      </w:r>
      <w:proofErr w:type="spellStart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 xml:space="preserve"> tehnologia Acte Sintetice sunt mărci </w:t>
      </w:r>
      <w:proofErr w:type="spellStart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inregistrate</w:t>
      </w:r>
      <w:proofErr w:type="spellEnd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 xml:space="preserve"> ale </w:t>
      </w:r>
      <w:proofErr w:type="spellStart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Wolters</w:t>
      </w:r>
      <w:proofErr w:type="spellEnd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Kluwer</w:t>
      </w:r>
      <w:proofErr w:type="spellEnd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2" w:name="do|pa1"/>
      <w:bookmarkEnd w:id="2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În temeiul art. 108 din </w:t>
      </w:r>
      <w:hyperlink r:id="rId7" w:history="1">
        <w:proofErr w:type="spellStart"/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Constituţia</w:t>
        </w:r>
        <w:proofErr w:type="spellEnd"/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 xml:space="preserve"> României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republicată, al art. 15 din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Ordonanţa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urgenţă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Guvernului nr. </w:t>
      </w:r>
      <w:hyperlink r:id="rId8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76/2018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privind aprobarea Programului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investiţii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domeniul culturii,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pentru modificarea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completarea unor acte normative, aprobată cu modificări prin Legea nr. </w:t>
      </w:r>
      <w:hyperlink r:id="rId9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86/2019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având în vedere art. 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III din Legea nr. </w:t>
      </w:r>
      <w:hyperlink r:id="rId10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211/2016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pentru aprobarea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Ordonanţei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urgenţă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Guvernului nr. </w:t>
      </w:r>
      <w:hyperlink r:id="rId11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72/2013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privind reorganizarea unor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publice aflate în subordinea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,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3" w:name="do|pa2"/>
      <w:bookmarkEnd w:id="3"/>
      <w:r w:rsidRPr="005A65B6">
        <w:rPr>
          <w:rFonts w:ascii="Verdana" w:eastAsia="Times New Roman" w:hAnsi="Verdana" w:cs="Times New Roman"/>
          <w:b/>
          <w:bCs/>
          <w:sz w:val="22"/>
          <w:lang w:val="ro-RO" w:eastAsia="ro-RO"/>
        </w:rPr>
        <w:t>Guvernul României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adoptă prezenta hotărâre.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4" w:name="do|arI"/>
      <w:r w:rsidRPr="005A65B6">
        <w:rPr>
          <w:rFonts w:ascii="Verdana" w:eastAsia="Times New Roman" w:hAnsi="Verdana" w:cs="Times New Roman"/>
          <w:b/>
          <w:bCs/>
          <w:noProof/>
          <w:color w:val="333399"/>
          <w:sz w:val="22"/>
          <w:lang w:val="ro-RO" w:eastAsia="ro-RO"/>
        </w:rPr>
        <w:drawing>
          <wp:inline distT="0" distB="0" distL="0" distR="0">
            <wp:extent cx="95250" cy="95250"/>
            <wp:effectExtent l="0" t="0" r="0" b="0"/>
            <wp:docPr id="10" name="Picture 10" descr="C:\Users\Workstatio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_i" descr="C:\Users\Workstatio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 w:rsidRPr="005A65B6">
        <w:rPr>
          <w:rFonts w:ascii="Verdana" w:eastAsia="Times New Roman" w:hAnsi="Verdana" w:cs="Times New Roman"/>
          <w:b/>
          <w:bCs/>
          <w:color w:val="0000AF"/>
          <w:sz w:val="22"/>
          <w:lang w:val="ro-RO" w:eastAsia="ro-RO"/>
        </w:rPr>
        <w:t>Art. I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5" w:name="do|arI|pa1"/>
      <w:bookmarkEnd w:id="5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Hotărârea Guvernului nr. </w:t>
      </w:r>
      <w:hyperlink r:id="rId12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593/2011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privind organizarea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funcţionarea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Institutului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 Patrimoniului, publicată în Monitorul Oficial al României, Partea I, nr. 429 din 20 iunie 2011, cu modificările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completările ulterioare, se modifică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se completează după cum urmează: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6" w:name="do|arI|pt1"/>
      <w:r w:rsidRPr="005A65B6">
        <w:rPr>
          <w:rFonts w:ascii="Verdana" w:eastAsia="Times New Roman" w:hAnsi="Verdana" w:cs="Times New Roman"/>
          <w:b/>
          <w:bCs/>
          <w:noProof/>
          <w:color w:val="333399"/>
          <w:sz w:val="22"/>
          <w:lang w:val="ro-RO" w:eastAsia="ro-RO"/>
        </w:rPr>
        <w:drawing>
          <wp:inline distT="0" distB="0" distL="0" distR="0">
            <wp:extent cx="95250" cy="95250"/>
            <wp:effectExtent l="0" t="0" r="0" b="0"/>
            <wp:docPr id="9" name="Picture 9" descr="C:\Users\Workstatio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1|_i" descr="C:\Users\Workstatio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r w:rsidRPr="005A65B6">
        <w:rPr>
          <w:rFonts w:ascii="Verdana" w:eastAsia="Times New Roman" w:hAnsi="Verdana" w:cs="Times New Roman"/>
          <w:b/>
          <w:bCs/>
          <w:color w:val="8F0000"/>
          <w:sz w:val="22"/>
          <w:lang w:val="ro-RO" w:eastAsia="ro-RO"/>
        </w:rPr>
        <w:t>1.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Articolul 1 se modifică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va avea următorul cuprins: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7" w:name="do|arI|pt1|pa1"/>
      <w:bookmarkEnd w:id="7"/>
      <w:r w:rsidRPr="005A65B6">
        <w:rPr>
          <w:rFonts w:ascii="Verdana" w:eastAsia="Times New Roman" w:hAnsi="Verdana" w:cs="Times New Roman"/>
          <w:sz w:val="22"/>
          <w:lang w:val="ro-RO" w:eastAsia="ro-RO"/>
        </w:rPr>
        <w:t>"Art. 1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8" w:name="do|arI|pt1|pa2"/>
      <w:bookmarkEnd w:id="8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(1) Institutul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 Patrimoniului, reorganizat potrivit art. 3 alin. (2) din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Ordonanţa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urgenţă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Guvernului nr. </w:t>
      </w:r>
      <w:hyperlink r:id="rId13" w:tooltip="privind reorganizarea unor instituţii publice aflate în subordinea Ministerului Culturii (act publicat in M.Of. 388 din 28-iun-2013)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72/2013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privind reorganizarea unor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publice aflate în subordinea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aprobată cu modificări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completări prin Legea nr. </w:t>
      </w:r>
      <w:hyperlink r:id="rId14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211/2016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denumit în continuare Institutul, este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publică de cultură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importanţă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cu personalitate juridică, cu activitate în domeniul protejării, restaurării, cercetării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promovării patrimoniului cultural, aflată în subordinea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finanţată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din venituri proprii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subvenţii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acordate de la bugetul de stat.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9" w:name="do|arI|pt1|pa3"/>
      <w:bookmarkEnd w:id="9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(2) Institutul are sediul în municipiul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Bucureşti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str.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Ienăchiţă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Văcărescu nr. 16, sectorul 4."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0" w:name="do|arI|pt2"/>
      <w:r w:rsidRPr="005A65B6">
        <w:rPr>
          <w:rFonts w:ascii="Verdana" w:eastAsia="Times New Roman" w:hAnsi="Verdana" w:cs="Times New Roman"/>
          <w:b/>
          <w:bCs/>
          <w:noProof/>
          <w:color w:val="333399"/>
          <w:sz w:val="22"/>
          <w:lang w:val="ro-RO" w:eastAsia="ro-RO"/>
        </w:rPr>
        <w:drawing>
          <wp:inline distT="0" distB="0" distL="0" distR="0">
            <wp:extent cx="95250" cy="95250"/>
            <wp:effectExtent l="0" t="0" r="0" b="0"/>
            <wp:docPr id="8" name="Picture 8" descr="C:\Users\Workstatio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2|_i" descr="C:\Users\Workstatio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  <w:r w:rsidRPr="005A65B6">
        <w:rPr>
          <w:rFonts w:ascii="Verdana" w:eastAsia="Times New Roman" w:hAnsi="Verdana" w:cs="Times New Roman"/>
          <w:b/>
          <w:bCs/>
          <w:color w:val="8F0000"/>
          <w:sz w:val="22"/>
          <w:lang w:val="ro-RO" w:eastAsia="ro-RO"/>
        </w:rPr>
        <w:t>2.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Articolul 2 se modifică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va avea următorul cuprins: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1" w:name="do|arI|pt2|pa1"/>
      <w:bookmarkEnd w:id="11"/>
      <w:r w:rsidRPr="005A65B6">
        <w:rPr>
          <w:rFonts w:ascii="Verdana" w:eastAsia="Times New Roman" w:hAnsi="Verdana" w:cs="Times New Roman"/>
          <w:sz w:val="22"/>
          <w:lang w:val="ro-RO" w:eastAsia="ro-RO"/>
        </w:rPr>
        <w:t>"Art. 2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2" w:name="do|arI|pt2|pa2"/>
      <w:bookmarkEnd w:id="12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Institutul are următoarele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atribuţii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principale: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3" w:name="do|arI|pt2|pa3"/>
      <w:bookmarkEnd w:id="13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1. a) gestionează fondurile destinate cercetării, expertizării, proiectării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executării lucrărilor de consolidare-restaurare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punere în valoare a monumentelor istorice, alocate de la bugetul de stat, prin bugetul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potrivit prevederilor art. 14 alin. (1) din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Ordonanţa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urgenţă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Guvernului nr. </w:t>
      </w:r>
      <w:hyperlink r:id="rId15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76/2018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privind aprobarea Programului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investiţii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domeniul culturii,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pentru modificarea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completarea unor acte normative, aprobată cu modificări prin Legea nr. </w:t>
      </w:r>
      <w:hyperlink r:id="rId16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86/2019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>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4" w:name="do|arI|pt2|pa4"/>
      <w:bookmarkEnd w:id="14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2. b) propune spre aprobare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programe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proiecte de restaurare a monumentelor istorice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asigură gestionarea acestora, potrivit legii;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5" w:name="do|arI|pt2|pa5"/>
      <w:bookmarkEnd w:id="15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3. c) fundamentează, în conformitate cu normele privind creditarea, elaborate de Ministerul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aprobate prin hotărâre a Guvernului, necesarul de credite;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stabileşte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priorităţile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evaluează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documentaţiile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prezentate de persoanele de drept privat în vederea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obţinerii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credite fără dobândă, cu dobândă redusă sau cu dobândă legală, pentru efectuarea de lucrări de protejare la monumentele istorice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deţinute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6" w:name="do|arI|pt2|pa6"/>
      <w:bookmarkEnd w:id="16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4. d) gestionează, prin acordarea de credite în conformitate cu prevederile lit. a), sumele provenite din aplicarea timbrului monumentelor istorice,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din alte surse cu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aceeaşi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destinaţie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obţinute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condiţiile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legii; sumele încasate din rambursări de credite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plăţi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din dobânzi se utilizează în sistem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revolving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cu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acelaşi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scop;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7" w:name="do|arI|pt2|pa7"/>
      <w:bookmarkEnd w:id="17"/>
      <w:r w:rsidRPr="005A65B6">
        <w:rPr>
          <w:rFonts w:ascii="Verdana" w:eastAsia="Times New Roman" w:hAnsi="Verdana" w:cs="Times New Roman"/>
          <w:sz w:val="22"/>
          <w:lang w:val="ro-RO" w:eastAsia="ro-RO"/>
        </w:rPr>
        <w:lastRenderedPageBreak/>
        <w:t xml:space="preserve">5. e) gestionează sumele provenite din aplicarea timbrului monumentelor istorice în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condiţiile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legii, respectiv pentru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finanţarea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elaborării de reglementări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tehnico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-economice, de norme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metodologii privind elaborarea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documentaţii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specifice, executării de lucrări, realizării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achiziţii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contractării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decontării de lucrări privind monumentele istorice sau pentru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finanţarea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unor amenajări în vederea pregătirii monumentelor istorice pentru vizitare gratuită,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pentru realizarea unor programe sau proiecte culturale;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8" w:name="do|arI|pt2|pa8"/>
      <w:bookmarkEnd w:id="18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6. f) elaborează, potrivit strategiei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supune spre aprobare acestuia Programul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restaurare a monumentelor istorice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asigură atribuirea contractelor de proiectare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execuţie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lucrărilor de restaurare, conservare,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protecţie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punere în valoare a obiectivelor cuprinse în acesta, potrivit legii;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9" w:name="do|arI|pt2|pa9"/>
      <w:bookmarkEnd w:id="19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7. g) verifică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propune spre avizare, potrivit legii,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documentaţiile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tehnico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-economice pentru lucrările contractate;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20" w:name="do|arI|pt2|pa10"/>
      <w:bookmarkEnd w:id="20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8. h) asigură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asistenţa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tehnică de specialitate pentru Ministerul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domeniul organizării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activităţii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protejare a monumentelor istorice;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21" w:name="do|arI|pt2|pa11"/>
      <w:bookmarkEnd w:id="21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9. i) elaborează reglementările privind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conţinutul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-cadru al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documentaţiilor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tarifarea acestora, executarea lucrărilor, organizarea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achiziţiilor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publice, contractarea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decontarea lucrărilor;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22" w:name="do|arI|pt2|pa12"/>
      <w:bookmarkEnd w:id="22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10. j) propune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iniţierea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acte normative în domeniul protejării monumentelor istorice;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23" w:name="do|arI|pt2|pa13"/>
      <w:bookmarkEnd w:id="23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11. k) organizează, independent sau în colaborare cu Institutul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pentru Cercetare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Formare Culturală sau alte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specialitate,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activităţi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educaţie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formare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programe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educaţie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permanentă în domeniul patrimoniului cultural imobil, mobil, imaterial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digital, în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condiţiile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legii;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24" w:name="do|arI|pt2|pa14"/>
      <w:bookmarkEnd w:id="24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12. l) asigură fundamentarea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ştiinţifică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deciziilor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avizelor Comisiei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Monumentelor Istorice privind clasarea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evidenţa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monumentelor istorice,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intervenţiile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asupra acestora,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zonele lor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protecţie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25" w:name="do|arI|pt2|pa15"/>
      <w:bookmarkEnd w:id="25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13. m) elaborează dosarele pentru monumentele istorice pe care România ar urma să le propună pentru a fi incluse în Lista patrimoniului mondial al UNESCO, aflate pe Lista tentativă/ indicativă a UNESCO, în baza aprobării prealabile a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26" w:name="do|arI|pt2|pa16"/>
      <w:bookmarkEnd w:id="26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14. n) elaborează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actualizează periodic Lista monumentelor istorice din România;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27" w:name="do|arI|pt2|pa17"/>
      <w:bookmarkEnd w:id="27"/>
      <w:r w:rsidRPr="005A65B6">
        <w:rPr>
          <w:rFonts w:ascii="Verdana" w:eastAsia="Times New Roman" w:hAnsi="Verdana" w:cs="Times New Roman"/>
          <w:sz w:val="22"/>
          <w:lang w:val="ro-RO" w:eastAsia="ro-RO"/>
        </w:rPr>
        <w:t>15. o) identifică bunurile imobile susceptibile a fi clasate în Lista monumentelor istorice;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28" w:name="do|arI|pt2|pa18"/>
      <w:bookmarkEnd w:id="28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16. p) administrează fondul documentar al monumentelor istorice, care cuprinde: arhiva, fototeca, fondul cartografic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biblioteca, care sunt proprietatea publică a statului român;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29" w:name="do|arI|pt2|pa19"/>
      <w:bookmarkEnd w:id="29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17. q) gestionează Registrul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specialiştilor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experţilor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verificatorilor tehnici,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procedurile de atestare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înscriere în acesta, în conformitate cu metodologia aprobată prin ordin al ministrului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cu respectarea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legislaţiei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specifice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protecţiei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datelor cu caracter personal;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30" w:name="do|arI|pt2|pa20"/>
      <w:bookmarkEnd w:id="30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18. r) elaborează normele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metodologiile specifice domeniului monumentelor istorice, care se aprobă prin ordin al ministrului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31" w:name="do|arI|pt2|pa21"/>
      <w:bookmarkEnd w:id="31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19. s)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iniţiază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derulează proiecte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programe privind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activităţi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cercetare, conservare, restaurare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punere în valoare a monumentelor istorice;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32" w:name="do|arI|pt2|pa22"/>
      <w:bookmarkEnd w:id="32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20.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) gestionează, în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condiţiile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legii, fondurile destinate inventarierii, elaborării normelor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metodologiilor pentru monumente istorice;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33" w:name="do|arI|pt2|pa23"/>
      <w:bookmarkEnd w:id="33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21. t) colaborează cu serviciile publice deconcentrate ale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specialitate în activitatea de inventariere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cadastru a monumentelor istorice;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34" w:name="do|arI|pt2|pa24"/>
      <w:bookmarkEnd w:id="34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22.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ţ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) poate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declanşa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procedura de clasare a bunurilor imobile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bunurilor imobile aflate în pericol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poate elabora dosarele de clasare conform Normelor metodologice de clasare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inventariere a monumentelor istorice, aprobate prin ordin al ministrului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35" w:name="do|arI|pt2|pa25"/>
      <w:bookmarkEnd w:id="35"/>
      <w:r w:rsidRPr="005A65B6">
        <w:rPr>
          <w:rFonts w:ascii="Verdana" w:eastAsia="Times New Roman" w:hAnsi="Verdana" w:cs="Times New Roman"/>
          <w:sz w:val="22"/>
          <w:lang w:val="ro-RO" w:eastAsia="ro-RO"/>
        </w:rPr>
        <w:lastRenderedPageBreak/>
        <w:t xml:space="preserve">23. u) elaborează proiecte de valorificare prin turism cultural a monumentelor istorice,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zonelor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protecţie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acestora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propune în acest sens colaborarea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cu ministerele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autorităţile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resort;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36" w:name="do|arI|pt2|pa26"/>
      <w:bookmarkEnd w:id="36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24. v) realizează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pune în valoare, în interes public, baze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date, registre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depozite, inclusiv digitale, pentru patrimoniul cultural imobil, mobil, imaterial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digital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resursele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informaţionale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asociate, care cuprind: vocabulare controlate, persoane, locuri, evenimente, bibliografii, date, imagini, înregistrări video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audio,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hărţi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informaţii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. Acestea includ: baza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date a inventarului patrimoniului cultural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mobil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patrimoniului clasat, baza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date a Repertoriului arheologic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RAN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sistemul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informaţional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geografic aferent, Sistemul informatic de administrare a cercetărilor arheologice - ACERA, baza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date a arhitecturii vernaculare din muzeele în aer liber - ETNOMON, Registrul bunurilor culturale distruse, dispărute, furate sau exportate ilegal, Catalogul colectiv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cărţii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vechi, baza de date a Repertoriului patrimoniului imaterial, baza de date bibliografice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biblioteca digitală a patrimoniului cultural, baza de date 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specialiştilor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Registrul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experţilor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domeniul patrimoniului cultural mobil, Registrul arheologilor, baza de date a muzeelor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colecţiilor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altele;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37" w:name="do|arI|pt2|pa27"/>
      <w:bookmarkEnd w:id="37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25. w) centralizează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procesează datele primite de la Ministerul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de la operatorii culturali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din alte surse, asigură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evidenţa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informatizată, administrarea documentelor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fişierelor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destinate actualizării bazelor de date, arhivarea acestora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publicarea, inclusiv pe internet, a datelor de interes public;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38" w:name="do|arI|pt2|pa28"/>
      <w:bookmarkEnd w:id="38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26. x) gestionează baza de date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geospaţiale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cu privire la monumente istorice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la situri arheologice, necesare punerii în aplicare 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Ordonanţei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Guvernului nr. </w:t>
      </w:r>
      <w:hyperlink r:id="rId17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4/2010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privind instituirea Infrastructurii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pentru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informaţii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spaţiale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România, republicată; elaborează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finanţează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proiecte pentru realizarea bazei de date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geospaţiale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39" w:name="do|arI|pt2|pa29"/>
      <w:bookmarkEnd w:id="39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27. y) cercetează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pune în valoare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informaţiile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cuprinse în bazele de date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din alte surse; acordă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asistenţă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specialitate privind valorificarea documentar-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ştiinţifică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informaţiei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publică repertorii, cataloage, bibliografii, ghiduri,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dicţionare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facsimile digitale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altele;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40" w:name="do|arI|pt2|pa30"/>
      <w:bookmarkEnd w:id="40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28. z) colaborează cu Institutul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pentru Cercetare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Formare Culturală la completarea bazelor de date aferente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la documentarea Contului Satelit Cultură;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41" w:name="do|arI|pt2|pa31"/>
      <w:bookmarkEnd w:id="41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29.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)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îndeplineşte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funcţia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agregator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procesul de implementare a Programului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pentru digitizarea resurselor culturale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crearea Bibliotecii Digitale a României - componentă a bibliotecii digitale europene - Europeana.eu, asigurând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interfaţa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dintre furnizorii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conţinut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respectiv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publice sau alte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organizaţii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deţinătoare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resurse culturale,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serviciile tehnice care gestionează programul la nivel comunitar, cu respectarea prevederilor legale privind interoperabilitatea, securitatea cibernetică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arhivarea documentelor;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42" w:name="do|arI|pt2|pa32"/>
      <w:bookmarkEnd w:id="42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30.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bb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) elaborează norme, standarde, instrumente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evidenţă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chestionare, instrumente informatice, terminologii pentru documentarea bunurilor culturale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realizează studii, cercetări, analize, monitorizări, programe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proiecte în domeniul patrimoniului cultural;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43" w:name="do|arI|pt2|pa33"/>
      <w:bookmarkEnd w:id="43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31. cc) oferă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asistenţă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tehnică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specialitate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culturale,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întreţine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programul DOCPAT pentru documentarea patrimoniului cultural,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alte sisteme informatice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aplicaţii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utilizate de către operatorii culturali;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44" w:name="do|arI|pt2|pa34"/>
      <w:bookmarkEnd w:id="44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32.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dd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)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întreţine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dezvoltă site-ul web al patrimoniului cultural din România E-patrimoniu.ro, portalul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Culturalia.ro, alte site-uri web tematice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portaluri de interes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participă la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reţele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europene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internaţionale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date;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45" w:name="do|arI|pt2|pa35"/>
      <w:bookmarkEnd w:id="45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33.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ee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) administrează bazele de date, arhivele de documente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imagini pe suport clasic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digital,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fototeca istorică a patrimoniului cultural, care sunt proprietatea publică a statului român;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46" w:name="do|arI|pt2|pa36"/>
      <w:bookmarkEnd w:id="46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34. ff) reprezintă Ministerul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Sistemul integrat de gestiune 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informaţiilor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pentru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protecţia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patrimoniului cultural mobil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bunurilor 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lastRenderedPageBreak/>
        <w:t xml:space="preserve">culturale, în alte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reţele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parteneriate, comisii interministeriale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proiecte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internaţionale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legate de noile tehnologii informatice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comunicare în domeniul cultural;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47" w:name="do|arI|pt2|pa37"/>
      <w:bookmarkEnd w:id="47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35.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gg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) stochează inventarele privind bunurile culturale mobile clasate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documentele care au stat la baza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operaţiunilor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clasare;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48" w:name="do|arI|pt2|pa38"/>
      <w:bookmarkEnd w:id="48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36.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hh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) editează Revista Monumentelor Istorice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Buletinul Comisiunii Monumentelor Istorice, Cronica cercetărilor arheologice din România,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publicaţii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specialitate, pe orice tip de suport,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comercializează materialele privind protejarea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punerea în valoare a monumentelor istorice;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49" w:name="do|arI|pt2|pa39"/>
      <w:bookmarkEnd w:id="49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37. ii) organizează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participă la manifestări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ştiinţifice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internaţionale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domeniul patrimoniului cultural;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50" w:name="do|arI|pt2|pa40"/>
      <w:bookmarkEnd w:id="50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38.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jj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) formulează propuneri cu privire la procedurile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dosarele de candidatură pentru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acţiunea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Uniunii Europene intitulată «Marca Patrimoniului European»;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51" w:name="do|arI|pt2|pa41"/>
      <w:bookmarkEnd w:id="51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39.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kk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) pune în aplicare Strategia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stabilită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aprobată de Ministerul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privind Lista patrimoniului mondial al UNESCO;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52" w:name="do|arI|pt2|pa42"/>
      <w:bookmarkEnd w:id="52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40.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ll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) asigură sprijinul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ştiinţific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activităţii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gestiune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monitorizare a monumentelor istorice înscrise în Lista patrimoniului mondial al UNESCO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Inventarul bunurilor din patrimoniul cultural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natural susceptibile de a fi înscrise în Lista patrimoniului mondial al UNESCO, denumit în continuare Lista indicativă,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zonelor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protecţie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ale acestora;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53" w:name="do|arI|pt2|pa43"/>
      <w:bookmarkEnd w:id="53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41. mm) formulează propuneri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recomandări privind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protecţia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gestiunea monumentelor istorice înscrise în Lista patrimoniului mondial al UNESCO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Lista indicativă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zonelor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protecţie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acestora, pe care le transmite spre aprobare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. În baza acestei aprobări, transmite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autorităţilor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atribuţii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implementare, proprietarilor, administratorilor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altor titulari ai unor drepturi reale asupra respectivelor imobile propunerile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recomandările formulate;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54" w:name="do|arI|pt2|pa44"/>
      <w:bookmarkEnd w:id="54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42.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nn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) poate participa, după caz, la reuniunile Comitetului Patrimoniului Mondial al UNESCO, în cadrul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delegaţiei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României participante la acestea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 mandatului acesteia, pe baza aprobării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celorlalte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din sistemul guvernamental, cu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atribuţii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domeniu, conform actelor normative în vigoare."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55" w:name="do|arI|pt3"/>
      <w:r w:rsidRPr="005A65B6">
        <w:rPr>
          <w:rFonts w:ascii="Verdana" w:eastAsia="Times New Roman" w:hAnsi="Verdana" w:cs="Times New Roman"/>
          <w:b/>
          <w:bCs/>
          <w:noProof/>
          <w:color w:val="333399"/>
          <w:sz w:val="22"/>
          <w:lang w:val="ro-RO" w:eastAsia="ro-RO"/>
        </w:rPr>
        <w:drawing>
          <wp:inline distT="0" distB="0" distL="0" distR="0">
            <wp:extent cx="95250" cy="95250"/>
            <wp:effectExtent l="0" t="0" r="0" b="0"/>
            <wp:docPr id="7" name="Picture 7" descr="C:\Users\Workstatio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3|_i" descr="C:\Users\Workstatio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5"/>
      <w:r w:rsidRPr="005A65B6">
        <w:rPr>
          <w:rFonts w:ascii="Verdana" w:eastAsia="Times New Roman" w:hAnsi="Verdana" w:cs="Times New Roman"/>
          <w:b/>
          <w:bCs/>
          <w:color w:val="8F0000"/>
          <w:sz w:val="22"/>
          <w:lang w:val="ro-RO" w:eastAsia="ro-RO"/>
        </w:rPr>
        <w:t>3.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t>Articolul 2</w:t>
      </w:r>
      <w:r w:rsidRPr="005A65B6">
        <w:rPr>
          <w:rFonts w:ascii="Verdana" w:eastAsia="Times New Roman" w:hAnsi="Verdana" w:cs="Times New Roman"/>
          <w:sz w:val="22"/>
          <w:vertAlign w:val="superscript"/>
          <w:lang w:val="ro-RO" w:eastAsia="ro-RO"/>
        </w:rPr>
        <w:t>1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se modifică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va avea următorul cuprins: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56" w:name="do|arI|pt3|pa1"/>
      <w:bookmarkEnd w:id="56"/>
      <w:r w:rsidRPr="005A65B6">
        <w:rPr>
          <w:rFonts w:ascii="Verdana" w:eastAsia="Times New Roman" w:hAnsi="Verdana" w:cs="Times New Roman"/>
          <w:sz w:val="22"/>
          <w:lang w:val="ro-RO" w:eastAsia="ro-RO"/>
        </w:rPr>
        <w:t>"Art. 2</w:t>
      </w:r>
      <w:r w:rsidRPr="005A65B6">
        <w:rPr>
          <w:rFonts w:ascii="Verdana" w:eastAsia="Times New Roman" w:hAnsi="Verdana" w:cs="Times New Roman"/>
          <w:sz w:val="22"/>
          <w:vertAlign w:val="superscript"/>
          <w:lang w:val="ro-RO" w:eastAsia="ro-RO"/>
        </w:rPr>
        <w:t>1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57" w:name="do|arI|pt3|pa2"/>
      <w:bookmarkEnd w:id="57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În domeniul protejării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promovării patrimoniului imaterial, Institutul are următoarele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atribuţii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principale: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58" w:name="do|arI|pt3|pa3"/>
      <w:bookmarkEnd w:id="58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a)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iniţiază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derulează proiecte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programe privind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activităţi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conservare, protejare, punere în valoare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promovare a patrimoniului cultural imaterial de pe teritoriul României;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59" w:name="do|arI|pt3|pa4"/>
      <w:bookmarkEnd w:id="59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b) realizează,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susţine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inclusiv financiar, proiectele, programele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activităţile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cercetare, conservare, protejare, punere în valoare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promovare a patrimoniului cultural imaterial de pe teritoriul României,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iniţiate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persoane fizice sau juridice de drept public ori privat, în conformitate cu strategiile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politicile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60" w:name="do|arI|pt3|pa5"/>
      <w:bookmarkEnd w:id="60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c) efectuează studii, cercetări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expertize în domeniul patrimoniului imaterial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tradiţionale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inclusiv cel al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meşteşugurilor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meseriilor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tradiţionale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iniţiază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programe de protejare, punere în valoare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promovare în domeniu;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61" w:name="do|arI|pt3|pa6"/>
      <w:bookmarkEnd w:id="61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d) coordonează metodologic activitatea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aşezămintelor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culturale în domeniul patrimoniului cultural imaterial;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62" w:name="do|arI|pt3|pa7"/>
      <w:bookmarkEnd w:id="62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e) colaborează cu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specializate sau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organizaţii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neguvernamentale, în vederea realizării programelor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activităţilor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cercetare, punere în valoare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promovare a patrimoniului imaterial;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63" w:name="do|arI|pt3|pa8"/>
      <w:bookmarkEnd w:id="63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f) realizează programe-cadru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educaţie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permanentă în domeniul expresiilor culturale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tradiţionale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64" w:name="do|arI|pt3|pa9"/>
      <w:bookmarkEnd w:id="64"/>
      <w:r w:rsidRPr="005A65B6">
        <w:rPr>
          <w:rFonts w:ascii="Verdana" w:eastAsia="Times New Roman" w:hAnsi="Verdana" w:cs="Times New Roman"/>
          <w:sz w:val="22"/>
          <w:lang w:val="ro-RO" w:eastAsia="ro-RO"/>
        </w:rPr>
        <w:lastRenderedPageBreak/>
        <w:t xml:space="preserve">g) elaborează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realizează programe de conservare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promovare 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meşteşugurilor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tradiţionale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de sprijinire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afirmare a creatorilor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performerilor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tradiţiei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creaţiei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populare, inclusiv prin acordarea de premii în domeniul patrimoniului imaterial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tradiţionale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65" w:name="do|arI|pt3|pa10"/>
      <w:bookmarkEnd w:id="65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h) organizează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participă la evenimente culturale cu rol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ştiinţific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de coordonare metodologică, educative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/sau de divertisment;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66" w:name="do|arI|pt3|pa11"/>
      <w:bookmarkEnd w:id="66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i) editează, difuzează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comercializează pe orice suport material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cărţi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publicaţii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din domeniul patrimoniului cultural imaterial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tradiţionale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67" w:name="do|arI|pt3|pa12"/>
      <w:bookmarkEnd w:id="67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j) organizează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administrează Registrul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 mărcilor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tradiţionale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distinctive;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68" w:name="do|arI|pt3|pa13"/>
      <w:bookmarkEnd w:id="68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k) omologhează mărcile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tradiţionale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distinctive;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69" w:name="do|arI|pt3|pa14"/>
      <w:bookmarkEnd w:id="69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l) organizează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administrează Registrul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 patrimoniului cultural imaterial."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70" w:name="do|arI|pt4"/>
      <w:r w:rsidRPr="005A65B6">
        <w:rPr>
          <w:rFonts w:ascii="Verdana" w:eastAsia="Times New Roman" w:hAnsi="Verdana" w:cs="Times New Roman"/>
          <w:b/>
          <w:bCs/>
          <w:noProof/>
          <w:color w:val="333399"/>
          <w:sz w:val="22"/>
          <w:lang w:val="ro-RO" w:eastAsia="ro-RO"/>
        </w:rPr>
        <w:drawing>
          <wp:inline distT="0" distB="0" distL="0" distR="0">
            <wp:extent cx="95250" cy="95250"/>
            <wp:effectExtent l="0" t="0" r="0" b="0"/>
            <wp:docPr id="6" name="Picture 6" descr="C:\Users\Workstatio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4|_i" descr="C:\Users\Workstatio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0"/>
      <w:r w:rsidRPr="005A65B6">
        <w:rPr>
          <w:rFonts w:ascii="Verdana" w:eastAsia="Times New Roman" w:hAnsi="Verdana" w:cs="Times New Roman"/>
          <w:b/>
          <w:bCs/>
          <w:color w:val="8F0000"/>
          <w:sz w:val="22"/>
          <w:lang w:val="ro-RO" w:eastAsia="ro-RO"/>
        </w:rPr>
        <w:t>4.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t>După articolul 2</w:t>
      </w:r>
      <w:r w:rsidRPr="005A65B6">
        <w:rPr>
          <w:rFonts w:ascii="Verdana" w:eastAsia="Times New Roman" w:hAnsi="Verdana" w:cs="Times New Roman"/>
          <w:sz w:val="22"/>
          <w:vertAlign w:val="superscript"/>
          <w:lang w:val="ro-RO" w:eastAsia="ro-RO"/>
        </w:rPr>
        <w:t>1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se introduc două noi articole, articolele 2</w:t>
      </w:r>
      <w:r w:rsidRPr="005A65B6">
        <w:rPr>
          <w:rFonts w:ascii="Verdana" w:eastAsia="Times New Roman" w:hAnsi="Verdana" w:cs="Times New Roman"/>
          <w:sz w:val="22"/>
          <w:vertAlign w:val="superscript"/>
          <w:lang w:val="ro-RO" w:eastAsia="ro-RO"/>
        </w:rPr>
        <w:t>2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2</w:t>
      </w:r>
      <w:r w:rsidRPr="005A65B6">
        <w:rPr>
          <w:rFonts w:ascii="Verdana" w:eastAsia="Times New Roman" w:hAnsi="Verdana" w:cs="Times New Roman"/>
          <w:sz w:val="22"/>
          <w:vertAlign w:val="superscript"/>
          <w:lang w:val="ro-RO" w:eastAsia="ro-RO"/>
        </w:rPr>
        <w:t>3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t>, cu următorul cuprins: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71" w:name="do|arI|pt4|pa1"/>
      <w:bookmarkEnd w:id="71"/>
      <w:r w:rsidRPr="005A65B6">
        <w:rPr>
          <w:rFonts w:ascii="Verdana" w:eastAsia="Times New Roman" w:hAnsi="Verdana" w:cs="Times New Roman"/>
          <w:sz w:val="22"/>
          <w:lang w:val="ro-RO" w:eastAsia="ro-RO"/>
        </w:rPr>
        <w:t>"Art. 2</w:t>
      </w:r>
      <w:r w:rsidRPr="005A65B6">
        <w:rPr>
          <w:rFonts w:ascii="Verdana" w:eastAsia="Times New Roman" w:hAnsi="Verdana" w:cs="Times New Roman"/>
          <w:sz w:val="22"/>
          <w:vertAlign w:val="superscript"/>
          <w:lang w:val="ro-RO" w:eastAsia="ro-RO"/>
        </w:rPr>
        <w:t>2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72" w:name="do|arI|pt4|pa2"/>
      <w:bookmarkEnd w:id="72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(1) Programul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restaurare a monumentelor istorice este program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importanţă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73" w:name="do|arI|pt4|pa3"/>
      <w:bookmarkEnd w:id="73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(2) Programul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restaurare a monumentelor istorice, denumit în continuare </w:t>
      </w:r>
      <w:r w:rsidRPr="005A65B6">
        <w:rPr>
          <w:rFonts w:ascii="Verdana" w:eastAsia="Times New Roman" w:hAnsi="Verdana" w:cs="Times New Roman"/>
          <w:i/>
          <w:iCs/>
          <w:sz w:val="22"/>
          <w:lang w:val="ro-RO" w:eastAsia="ro-RO"/>
        </w:rPr>
        <w:t>Programul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este elaborat pe baza propunerilor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fundamentărilor formulate de către Institut, în colaborare cu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direcţia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specialitate din cadrul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în conformitate cu strategia în domeniu a ministerului,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este aprobat prin ordin al ministrului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74" w:name="do|arI|pt4|pa4"/>
      <w:bookmarkEnd w:id="74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(3) Programul este principalul instrument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finanţare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multianuală de la bugetul de stat, prin bugetul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pentru conservarea, consolidarea, restaurarea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punerea în valoare a monumentelor istorice.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75" w:name="do|arI|pt4|pa5"/>
      <w:bookmarkEnd w:id="75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(4)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Condiţiile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eligibilitate, criteriile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prioritizare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procedura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selecţie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obiectivelor cuprinse în Program,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condiţiile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desfăşurare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lucrărilor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finanţate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se stabilesc prin norme metodologice aprobate prin ordin al ministrului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76" w:name="do|arI|pt4|pa6"/>
      <w:bookmarkEnd w:id="76"/>
      <w:r w:rsidRPr="005A65B6">
        <w:rPr>
          <w:rFonts w:ascii="Verdana" w:eastAsia="Times New Roman" w:hAnsi="Verdana" w:cs="Times New Roman"/>
          <w:sz w:val="22"/>
          <w:lang w:val="ro-RO" w:eastAsia="ro-RO"/>
        </w:rPr>
        <w:t>Art. 2</w:t>
      </w:r>
      <w:r w:rsidRPr="005A65B6">
        <w:rPr>
          <w:rFonts w:ascii="Verdana" w:eastAsia="Times New Roman" w:hAnsi="Verdana" w:cs="Times New Roman"/>
          <w:sz w:val="22"/>
          <w:vertAlign w:val="superscript"/>
          <w:lang w:val="ro-RO" w:eastAsia="ro-RO"/>
        </w:rPr>
        <w:t>3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77" w:name="do|arI|pt4|pa7"/>
      <w:bookmarkEnd w:id="77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(1) În cadrul Institutului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funcţionează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o structură care se ocupă de îndeplinirea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atribuţiilor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acestuia referitoare la Lista patrimoniului mondial al UNESCO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la Lista tentativă/indicativă a UNESCO.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78" w:name="do|arI|pt4|pa8"/>
      <w:bookmarkEnd w:id="78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(2) Structura prevăzută la alin. (1) prezintă rapoarte periodice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care este punctul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legătură cu secretariatul UNESCO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asigură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corespondenţa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oficială între România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UNESCO.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79" w:name="do|arI|pt4|pa9"/>
      <w:bookmarkEnd w:id="79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(3)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Atribuţiile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menţionate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la alin. (1) vizează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activităţi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care necesită aprobarea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aprobare necesară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obligatorie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pentru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iniţierea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oricăror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acţiuni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activităţi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corespondenţe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la nivel de lucru, documente,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iniţiative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grupuri de lucru, vizite, misiuni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internaţionale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care implică statul român, acestea necesitând inclusiv aprobarea celorlalte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din sistemul guvernamental cu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atribuţii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domeniu, conform actelor normative în vigoare.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80" w:name="do|arI|pt4|pa10"/>
      <w:bookmarkEnd w:id="80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(4) Responsabilii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ştiinţifici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desemnaţi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din cadrul Institutului în organismele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protecţie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gestiune a monumentelor istorice ale României înscrise în Lista patrimoniului mondial al UNESCO sau pe Lista tentativă/indicativă a UNESCO, împreună cu coordonatorii monumentelor istorice respective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desemnaţi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consiliile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judeţene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întocmesc rapoarte de monitorizare anuale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rapoarte periodice care vor fi transmise la UNESCO în baza aprobării prealabile de către Ministerul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; rapoartele se publică în Buletinul Comisiei Monumentelor Istorice.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81" w:name="do|arI|pt4|pa11"/>
      <w:bookmarkEnd w:id="81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(5) Institutul desemnează responsabilii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ştiinţifici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menţionaţi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la alin. (4), pentru activitatea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ştiinţifică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metodologică de protejare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gestiune a fiecărui monument istoric."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82" w:name="do|arI|pt5"/>
      <w:r w:rsidRPr="005A65B6">
        <w:rPr>
          <w:rFonts w:ascii="Verdana" w:eastAsia="Times New Roman" w:hAnsi="Verdana" w:cs="Times New Roman"/>
          <w:b/>
          <w:bCs/>
          <w:noProof/>
          <w:color w:val="333399"/>
          <w:sz w:val="22"/>
          <w:lang w:val="ro-RO" w:eastAsia="ro-RO"/>
        </w:rPr>
        <w:drawing>
          <wp:inline distT="0" distB="0" distL="0" distR="0">
            <wp:extent cx="95250" cy="95250"/>
            <wp:effectExtent l="0" t="0" r="0" b="0"/>
            <wp:docPr id="5" name="Picture 5" descr="C:\Users\Workstatio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5|_i" descr="C:\Users\Workstatio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2"/>
      <w:r w:rsidRPr="005A65B6">
        <w:rPr>
          <w:rFonts w:ascii="Verdana" w:eastAsia="Times New Roman" w:hAnsi="Verdana" w:cs="Times New Roman"/>
          <w:b/>
          <w:bCs/>
          <w:color w:val="8F0000"/>
          <w:sz w:val="22"/>
          <w:lang w:val="ro-RO" w:eastAsia="ro-RO"/>
        </w:rPr>
        <w:t>5.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Articolul 4 se modifică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va avea următorul cuprins: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83" w:name="do|arI|pt5|pa1"/>
      <w:bookmarkEnd w:id="83"/>
      <w:r w:rsidRPr="005A65B6">
        <w:rPr>
          <w:rFonts w:ascii="Verdana" w:eastAsia="Times New Roman" w:hAnsi="Verdana" w:cs="Times New Roman"/>
          <w:sz w:val="22"/>
          <w:lang w:val="ro-RO" w:eastAsia="ro-RO"/>
        </w:rPr>
        <w:t>"Art. 4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84" w:name="do|arI|pt5|pa2"/>
      <w:bookmarkEnd w:id="84"/>
      <w:r w:rsidRPr="005A65B6">
        <w:rPr>
          <w:rFonts w:ascii="Verdana" w:eastAsia="Times New Roman" w:hAnsi="Verdana" w:cs="Times New Roman"/>
          <w:sz w:val="22"/>
          <w:lang w:val="ro-RO" w:eastAsia="ro-RO"/>
        </w:rPr>
        <w:lastRenderedPageBreak/>
        <w:t xml:space="preserve">(1) Cheltuielile curente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capital ale institutului se asigură din venituri proprii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subvenţii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acordate de la bugetul de stat, prin bugetul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85" w:name="do|arI|pt5|pa3"/>
      <w:bookmarkEnd w:id="85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(2) Veniturile proprii se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obţin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din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activităţi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realizate direct de Institut,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anume: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86" w:name="do|arI|pt5|pa4"/>
      <w:bookmarkEnd w:id="86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a) contractarea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realizarea de studii, cercetări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expertize în domeniul patrimoniului cultural imobil, mobil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imaterial;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87" w:name="do|arI|pt5|pa5"/>
      <w:bookmarkEnd w:id="87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b) realizarea de lucrări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servicii de specialitate, tehnice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economice, în domeniul protejării monumentelor istorice;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88" w:name="do|arI|pt5|pa6"/>
      <w:bookmarkEnd w:id="88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c) editarea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comercializarea materialelor privind protejarea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punerea în valoare a monumentelor istorice, a patrimoniului mobil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celui imaterial,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celor privind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educaţia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permanentă în domeniul expresiilor culturale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tradiţionale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89" w:name="do|arI|pt5|pa7"/>
      <w:bookmarkEnd w:id="89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d) alte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activităţi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specifice realizate în conformitate cu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atribuţiile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sale legale;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90" w:name="do|arI|pt5|pa8"/>
      <w:bookmarkEnd w:id="90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e)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cofinanţări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programe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proiecte;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91" w:name="do|arI|pt5|pa9"/>
      <w:bookmarkEnd w:id="91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f)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publicaţii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 orice tip de suport;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92" w:name="do|arI|pt5|pa10"/>
      <w:bookmarkEnd w:id="92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g)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prestaţii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editoriale;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93" w:name="do|arI|pt5|pa11"/>
      <w:bookmarkEnd w:id="93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h) studii, proiecte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prestări de servicii;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94" w:name="do|arI|pt5|pa12"/>
      <w:bookmarkEnd w:id="94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i) exploatarea bunurilor pe care le are în administrare: arhivă, fonotecă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altele;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95" w:name="do|arI|pt5|pa13"/>
      <w:bookmarkEnd w:id="95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j) sponsorizări sau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donaţii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ale persoanelor fizice ori juridice, române sau străine;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96" w:name="do|arI|pt5|pa14"/>
      <w:bookmarkEnd w:id="96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k) activitatea de atestare 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specialiştilor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experţilor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verificatorilor tehnici în domeniul protejării monumentelor istorice, pe bază de tarife aprobate de Ministerul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;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97" w:name="do|arI|pt5|pa15"/>
      <w:bookmarkEnd w:id="97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l) închirierea bunurilor imobile pe care le are în administrare, în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condiţiile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legii.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98" w:name="do|arI|pt5|pa16"/>
      <w:bookmarkEnd w:id="98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(3) Activitatea de gestionare a timbrului monumentelor istorice, instituită potrivit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dispoziţiilor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Legii nr. </w:t>
      </w:r>
      <w:hyperlink r:id="rId18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422/2001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privind protejarea monumentelor istorice, republicată, cu modificările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completările ulterioare, este organizată ca activitate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finanţată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integral din venituri proprii,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înfiinţată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pe lângă Institut."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99" w:name="do|arI|pt6"/>
      <w:r w:rsidRPr="005A65B6">
        <w:rPr>
          <w:rFonts w:ascii="Verdana" w:eastAsia="Times New Roman" w:hAnsi="Verdana" w:cs="Times New Roman"/>
          <w:b/>
          <w:bCs/>
          <w:noProof/>
          <w:color w:val="333399"/>
          <w:sz w:val="22"/>
          <w:lang w:val="ro-RO" w:eastAsia="ro-RO"/>
        </w:rPr>
        <w:drawing>
          <wp:inline distT="0" distB="0" distL="0" distR="0">
            <wp:extent cx="95250" cy="95250"/>
            <wp:effectExtent l="0" t="0" r="0" b="0"/>
            <wp:docPr id="4" name="Picture 4" descr="C:\Users\Workstatio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6|_i" descr="C:\Users\Workstatio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9"/>
      <w:r w:rsidRPr="005A65B6">
        <w:rPr>
          <w:rFonts w:ascii="Verdana" w:eastAsia="Times New Roman" w:hAnsi="Verdana" w:cs="Times New Roman"/>
          <w:b/>
          <w:bCs/>
          <w:color w:val="8F0000"/>
          <w:sz w:val="22"/>
          <w:lang w:val="ro-RO" w:eastAsia="ro-RO"/>
        </w:rPr>
        <w:t>6.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Articolul 5 se modifică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va avea următorul cuprins: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00" w:name="do|arI|pt6|pa1"/>
      <w:bookmarkEnd w:id="100"/>
      <w:r w:rsidRPr="005A65B6">
        <w:rPr>
          <w:rFonts w:ascii="Verdana" w:eastAsia="Times New Roman" w:hAnsi="Verdana" w:cs="Times New Roman"/>
          <w:sz w:val="22"/>
          <w:lang w:val="ro-RO" w:eastAsia="ro-RO"/>
        </w:rPr>
        <w:t>"Art. 5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01" w:name="do|arI|pt6|pa2"/>
      <w:bookmarkEnd w:id="101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(1) Institutul este condus de către un manager pe baza contractului de management, încheiat în urma concursului de proiecte de management, conform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dispoziţiilor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Ordonanţei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urgenţă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Guvernului nr. </w:t>
      </w:r>
      <w:hyperlink r:id="rId19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189/2008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privind managementul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publice de cultură, aprobată cu modificări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completări prin Legea nr. </w:t>
      </w:r>
      <w:hyperlink r:id="rId20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269/2009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cu modificările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completările ulterioare.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02" w:name="do|arI|pt6|pa3"/>
      <w:bookmarkEnd w:id="102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(2) Managerul este ordonator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terţiar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credite.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03" w:name="do|arI|pt6|pa4"/>
      <w:bookmarkEnd w:id="103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(3) În exercitarea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atribuţiilor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sale, managerul emite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dispoziţii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04" w:name="do|arI|pt6|pa5"/>
      <w:bookmarkEnd w:id="104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(4) Managerul Institutului conduce întreaga activitate 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instituţiei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pe care o reprezintă în raporturile cu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autorităţile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publice,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organizaţii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cu persoanele juridice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fizice din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ţară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sau din străinătate.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05" w:name="do|arI|pt6|pa6"/>
      <w:bookmarkEnd w:id="105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(5) În exercitarea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atribuţiilor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sale, managerul este ajutat de Consiliul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administraţie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 Institutului, organ colectiv cu rol deliberativ de conducere.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06" w:name="do|arI|pt6|pa7"/>
      <w:bookmarkEnd w:id="106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(6)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Componenţa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atribuţiile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Consiliului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administraţie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se stabilesc prin regulamentul de organizare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funcţionare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internă al Institutului, aprobat prin ordin al ministrului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07" w:name="do|arI|pt6|pa8"/>
      <w:bookmarkEnd w:id="107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(7) Pe lângă manager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funcţionează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Consiliul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ştiinţific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 Institutului, organ colectiv cu rol consultativ, alcătuit din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personalităţi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culturale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din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specialişti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în domeniul patrimoniului cultural.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Componenţa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atribuţiile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modul de organizare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funcţionare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Consiliului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ştiinţific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se stabilesc prin regulamentul de organizare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funcţionare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 Institutului, aprobat prin ordin al ministrului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."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08" w:name="do|arI|pt7"/>
      <w:r w:rsidRPr="005A65B6">
        <w:rPr>
          <w:rFonts w:ascii="Verdana" w:eastAsia="Times New Roman" w:hAnsi="Verdana" w:cs="Times New Roman"/>
          <w:b/>
          <w:bCs/>
          <w:noProof/>
          <w:color w:val="333399"/>
          <w:sz w:val="22"/>
          <w:lang w:val="ro-RO" w:eastAsia="ro-RO"/>
        </w:rPr>
        <w:drawing>
          <wp:inline distT="0" distB="0" distL="0" distR="0">
            <wp:extent cx="95250" cy="95250"/>
            <wp:effectExtent l="0" t="0" r="0" b="0"/>
            <wp:docPr id="3" name="Picture 3" descr="C:\Users\Workstatio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7|_i" descr="C:\Users\Workstatio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8"/>
      <w:r w:rsidRPr="005A65B6">
        <w:rPr>
          <w:rFonts w:ascii="Verdana" w:eastAsia="Times New Roman" w:hAnsi="Verdana" w:cs="Times New Roman"/>
          <w:b/>
          <w:bCs/>
          <w:color w:val="8F0000"/>
          <w:sz w:val="22"/>
          <w:lang w:val="ro-RO" w:eastAsia="ro-RO"/>
        </w:rPr>
        <w:t>7.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Articolul 6 se modifică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va avea următorul cuprins: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09" w:name="do|arI|pt7|pa1"/>
      <w:bookmarkEnd w:id="109"/>
      <w:r w:rsidRPr="005A65B6">
        <w:rPr>
          <w:rFonts w:ascii="Verdana" w:eastAsia="Times New Roman" w:hAnsi="Verdana" w:cs="Times New Roman"/>
          <w:sz w:val="22"/>
          <w:lang w:val="ro-RO" w:eastAsia="ro-RO"/>
        </w:rPr>
        <w:t>"Art. 6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10" w:name="do|arI|pt7|pa2"/>
      <w:bookmarkEnd w:id="110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(1) Numărul maxim de posturi ale Institutului se aprobă prin ordin al ministrului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se asigură în limita numărului maxim de posturi prevăzut la pct. II «Organe de specialitate ale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administraţiei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publice centrale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instituţii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publice de cultură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importanţă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finanţate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din venituri proprii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din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subvenţii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acordate de la bugetul de stat» din anexa nr. 2 la Hotărârea Guvernului </w:t>
      </w:r>
      <w:r w:rsidRPr="005A65B6">
        <w:rPr>
          <w:rFonts w:ascii="Verdana" w:eastAsia="Times New Roman" w:hAnsi="Verdana" w:cs="Times New Roman"/>
          <w:sz w:val="22"/>
          <w:lang w:val="ro-RO" w:eastAsia="ro-RO"/>
        </w:rPr>
        <w:lastRenderedPageBreak/>
        <w:t xml:space="preserve">nr. </w:t>
      </w:r>
      <w:hyperlink r:id="rId21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90/2010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privind organizarea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funcţionarea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Ministerului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cu modificările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completările ulterioare.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11" w:name="do|arI|pt7|pa3"/>
      <w:bookmarkEnd w:id="111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(2)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Funcţiile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execuţie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specifice domeniului culturii din cadrul Institutului vor fi stabilite conform anexei nr. III - Familia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ocupaţională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funcţii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bugetare «Cultură»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unităţi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de cultură, la Legea-cadru nr. </w:t>
      </w:r>
      <w:hyperlink r:id="rId22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153/2017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privind salarizarea personalului plătit din fonduri publice, cu modificările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completările ulterioare, iar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funcţiile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specifice altor domenii de activitate vor fi stabilite potrivit anexelor în care acestea sunt prevăzute."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12" w:name="do|arII"/>
      <w:r w:rsidRPr="005A65B6">
        <w:rPr>
          <w:rFonts w:ascii="Verdana" w:eastAsia="Times New Roman" w:hAnsi="Verdana" w:cs="Times New Roman"/>
          <w:b/>
          <w:bCs/>
          <w:noProof/>
          <w:color w:val="333399"/>
          <w:sz w:val="22"/>
          <w:lang w:val="ro-RO" w:eastAsia="ro-RO"/>
        </w:rPr>
        <w:drawing>
          <wp:inline distT="0" distB="0" distL="0" distR="0">
            <wp:extent cx="95250" cy="95250"/>
            <wp:effectExtent l="0" t="0" r="0" b="0"/>
            <wp:docPr id="2" name="Picture 2" descr="C:\Users\Workstatio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I|_i" descr="C:\Users\Workstatio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2"/>
      <w:r w:rsidRPr="005A65B6">
        <w:rPr>
          <w:rFonts w:ascii="Verdana" w:eastAsia="Times New Roman" w:hAnsi="Verdana" w:cs="Times New Roman"/>
          <w:b/>
          <w:bCs/>
          <w:color w:val="0000AF"/>
          <w:sz w:val="22"/>
          <w:lang w:val="ro-RO" w:eastAsia="ro-RO"/>
        </w:rPr>
        <w:t>Art. II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13" w:name="do|arII|pa1"/>
      <w:bookmarkEnd w:id="113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În termen de 30 de zile de la intrarea în vigoare a prezentei hotărâri se aprobă Regulamentul de organizare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funcţionare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organigrama institutului, prin ordin al ministrului culturii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identităţii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naţionale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>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14" w:name="do|arIII"/>
      <w:r w:rsidRPr="005A65B6">
        <w:rPr>
          <w:rFonts w:ascii="Verdana" w:eastAsia="Times New Roman" w:hAnsi="Verdana" w:cs="Times New Roman"/>
          <w:b/>
          <w:bCs/>
          <w:noProof/>
          <w:color w:val="333399"/>
          <w:sz w:val="22"/>
          <w:lang w:val="ro-RO" w:eastAsia="ro-RO"/>
        </w:rPr>
        <w:drawing>
          <wp:inline distT="0" distB="0" distL="0" distR="0">
            <wp:extent cx="95250" cy="95250"/>
            <wp:effectExtent l="0" t="0" r="0" b="0"/>
            <wp:docPr id="1" name="Picture 1" descr="C:\Users\Workstation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II|_i" descr="C:\Users\Workstation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4"/>
      <w:r w:rsidRPr="005A65B6">
        <w:rPr>
          <w:rFonts w:ascii="Verdana" w:eastAsia="Times New Roman" w:hAnsi="Verdana" w:cs="Times New Roman"/>
          <w:b/>
          <w:bCs/>
          <w:color w:val="0000AF"/>
          <w:sz w:val="22"/>
          <w:lang w:val="ro-RO" w:eastAsia="ro-RO"/>
        </w:rPr>
        <w:t>Art. III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15" w:name="do|arIII|pa1"/>
      <w:bookmarkEnd w:id="115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Hotărârea Guvernului nr. </w:t>
      </w:r>
      <w:hyperlink r:id="rId23" w:history="1">
        <w:r w:rsidRPr="005A65B6">
          <w:rPr>
            <w:rFonts w:ascii="Verdana" w:eastAsia="Times New Roman" w:hAnsi="Verdana" w:cs="Times New Roman"/>
            <w:b/>
            <w:bCs/>
            <w:color w:val="333399"/>
            <w:sz w:val="22"/>
            <w:u w:val="single"/>
            <w:lang w:val="ro-RO" w:eastAsia="ro-RO"/>
          </w:rPr>
          <w:t>593/2011</w:t>
        </w:r>
      </w:hyperlink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privind organizarea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funcţionarea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Institutului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Naţional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al Patrimoniului, publicată în Monitorul Oficial al României, Partea I, nr. 429 din 20 iunie 2011, cu modificările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completările ulterioare, precum </w:t>
      </w:r>
      <w:proofErr w:type="spellStart"/>
      <w:r w:rsidRPr="005A65B6">
        <w:rPr>
          <w:rFonts w:ascii="Verdana" w:eastAsia="Times New Roman" w:hAnsi="Verdana" w:cs="Times New Roman"/>
          <w:sz w:val="22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22"/>
          <w:lang w:val="ro-RO" w:eastAsia="ro-RO"/>
        </w:rPr>
        <w:t xml:space="preserve"> cu cele aduse prin prezenta hotărâre, va fi republicată în Monitorul Oficial al României, Partea I, dându-se textelor o nouă numerotare.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16" w:name="do|pa3"/>
      <w:bookmarkEnd w:id="116"/>
      <w:r w:rsidRPr="005A65B6">
        <w:rPr>
          <w:rFonts w:ascii="Verdana" w:eastAsia="Times New Roman" w:hAnsi="Verdana" w:cs="Times New Roman"/>
          <w:sz w:val="22"/>
          <w:lang w:val="ro-RO" w:eastAsia="ro-RO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5A65B6" w:rsidRPr="005A65B6" w:rsidTr="005A65B6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5A65B6" w:rsidRPr="005A65B6" w:rsidRDefault="005A65B6" w:rsidP="005A65B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</w:pPr>
            <w:bookmarkStart w:id="117" w:name="do|pa4"/>
            <w:bookmarkEnd w:id="117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PRIM-MINISTRU</w:t>
            </w:r>
          </w:p>
          <w:p w:rsidR="005A65B6" w:rsidRPr="005A65B6" w:rsidRDefault="005A65B6" w:rsidP="005A65B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</w:pPr>
            <w:r w:rsidRPr="005A65B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VASILICA-VIORICA DĂNCILĂ</w:t>
            </w:r>
          </w:p>
          <w:p w:rsidR="005A65B6" w:rsidRPr="005A65B6" w:rsidRDefault="005A65B6" w:rsidP="005A65B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</w:pPr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Contrasemnează:</w:t>
            </w:r>
          </w:p>
          <w:p w:rsidR="005A65B6" w:rsidRPr="005A65B6" w:rsidRDefault="005A65B6" w:rsidP="005A65B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</w:pPr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 xml:space="preserve">Ministrul culturii </w:t>
            </w:r>
            <w:proofErr w:type="spellStart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şi</w:t>
            </w:r>
            <w:proofErr w:type="spellEnd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identităţii</w:t>
            </w:r>
            <w:proofErr w:type="spellEnd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naţionale</w:t>
            </w:r>
            <w:proofErr w:type="spellEnd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,</w:t>
            </w:r>
          </w:p>
          <w:p w:rsidR="005A65B6" w:rsidRPr="005A65B6" w:rsidRDefault="005A65B6" w:rsidP="005A65B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</w:pPr>
            <w:r w:rsidRPr="005A65B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Valer-Daniel Breaz</w:t>
            </w:r>
          </w:p>
          <w:p w:rsidR="005A65B6" w:rsidRPr="005A65B6" w:rsidRDefault="005A65B6" w:rsidP="005A65B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</w:pPr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 xml:space="preserve">p. Ministrul muncii </w:t>
            </w:r>
            <w:proofErr w:type="spellStart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şi</w:t>
            </w:r>
            <w:proofErr w:type="spellEnd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justiţiei</w:t>
            </w:r>
            <w:proofErr w:type="spellEnd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 xml:space="preserve"> sociale,</w:t>
            </w:r>
          </w:p>
          <w:p w:rsidR="005A65B6" w:rsidRPr="005A65B6" w:rsidRDefault="005A65B6" w:rsidP="005A65B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</w:pPr>
            <w:r w:rsidRPr="005A65B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Elena Solomonesc</w:t>
            </w:r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,</w:t>
            </w:r>
          </w:p>
          <w:p w:rsidR="005A65B6" w:rsidRPr="005A65B6" w:rsidRDefault="005A65B6" w:rsidP="005A65B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</w:pPr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secretar de stat</w:t>
            </w:r>
          </w:p>
          <w:p w:rsidR="005A65B6" w:rsidRPr="005A65B6" w:rsidRDefault="005A65B6" w:rsidP="005A65B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</w:pPr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 xml:space="preserve">Ministrul </w:t>
            </w:r>
            <w:proofErr w:type="spellStart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finanţelor</w:t>
            </w:r>
            <w:proofErr w:type="spellEnd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 xml:space="preserve"> publice,</w:t>
            </w:r>
          </w:p>
          <w:p w:rsidR="005A65B6" w:rsidRPr="005A65B6" w:rsidRDefault="005A65B6" w:rsidP="005A65B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</w:pPr>
            <w:r w:rsidRPr="005A65B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Eugen Orlando Teodorovici</w:t>
            </w:r>
          </w:p>
          <w:p w:rsidR="005A65B6" w:rsidRPr="005A65B6" w:rsidRDefault="005A65B6" w:rsidP="005A65B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</w:pPr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Ministrul afacerilor externe,</w:t>
            </w:r>
          </w:p>
          <w:p w:rsidR="005A65B6" w:rsidRPr="005A65B6" w:rsidRDefault="005A65B6" w:rsidP="005A65B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</w:pPr>
            <w:r w:rsidRPr="005A65B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 xml:space="preserve">Teodor-Viorel </w:t>
            </w:r>
            <w:proofErr w:type="spellStart"/>
            <w:r w:rsidRPr="005A65B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Meleşcanu</w:t>
            </w:r>
            <w:proofErr w:type="spellEnd"/>
          </w:p>
          <w:p w:rsidR="005A65B6" w:rsidRPr="005A65B6" w:rsidRDefault="005A65B6" w:rsidP="005A65B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</w:pPr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 xml:space="preserve">Ministrul </w:t>
            </w:r>
            <w:proofErr w:type="spellStart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comunicaţiilor</w:t>
            </w:r>
            <w:proofErr w:type="spellEnd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şi</w:t>
            </w:r>
            <w:proofErr w:type="spellEnd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societăţii</w:t>
            </w:r>
            <w:proofErr w:type="spellEnd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informaţionale</w:t>
            </w:r>
            <w:proofErr w:type="spellEnd"/>
            <w:r w:rsidRPr="005A65B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  <w:t>,</w:t>
            </w:r>
          </w:p>
          <w:p w:rsidR="005A65B6" w:rsidRPr="005A65B6" w:rsidRDefault="005A65B6" w:rsidP="005A65B6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o-RO" w:eastAsia="ro-RO"/>
              </w:rPr>
            </w:pPr>
            <w:r w:rsidRPr="005A65B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o-RO" w:eastAsia="ro-RO"/>
              </w:rPr>
              <w:t>Alexandru Petrescu</w:t>
            </w:r>
          </w:p>
        </w:tc>
      </w:tr>
    </w:tbl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bookmarkStart w:id="118" w:name="do|pa5"/>
      <w:bookmarkEnd w:id="118"/>
      <w:r w:rsidRPr="005A65B6">
        <w:rPr>
          <w:rFonts w:ascii="Verdana" w:eastAsia="Times New Roman" w:hAnsi="Verdana" w:cs="Times New Roman"/>
          <w:sz w:val="22"/>
          <w:lang w:val="ro-RO" w:eastAsia="ro-RO"/>
        </w:rPr>
        <w:t>Publicat în Monitorul Oficial cu numărul 532 din data de 28 iunie 2019</w:t>
      </w:r>
    </w:p>
    <w:p w:rsidR="005A65B6" w:rsidRPr="005A65B6" w:rsidRDefault="005A65B6" w:rsidP="005A65B6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sz w:val="22"/>
          <w:lang w:val="ro-RO" w:eastAsia="ro-RO"/>
        </w:rPr>
      </w:pPr>
      <w:r w:rsidRPr="005A65B6">
        <w:rPr>
          <w:rFonts w:ascii="Verdana" w:eastAsia="Times New Roman" w:hAnsi="Verdana" w:cs="Times New Roman"/>
          <w:sz w:val="22"/>
          <w:lang w:val="ro-RO" w:eastAsia="ro-RO"/>
        </w:rPr>
        <w:br/>
      </w:r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 xml:space="preserve">Forma sintetică la data 09-Jul-2019. Acest act a fost creat </w:t>
      </w:r>
      <w:proofErr w:type="spellStart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utilizand</w:t>
      </w:r>
      <w:proofErr w:type="spellEnd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 xml:space="preserve"> tehnologia </w:t>
      </w:r>
      <w:proofErr w:type="spellStart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SintAct</w:t>
      </w:r>
      <w:proofErr w:type="spellEnd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 xml:space="preserve">®-Acte Sintetice. </w:t>
      </w:r>
      <w:proofErr w:type="spellStart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SintAct</w:t>
      </w:r>
      <w:proofErr w:type="spellEnd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 xml:space="preserve">® </w:t>
      </w:r>
      <w:proofErr w:type="spellStart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şi</w:t>
      </w:r>
      <w:proofErr w:type="spellEnd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 xml:space="preserve"> tehnologia Acte Sintetice sunt mărci </w:t>
      </w:r>
      <w:proofErr w:type="spellStart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inregistrate</w:t>
      </w:r>
      <w:proofErr w:type="spellEnd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 xml:space="preserve"> ale </w:t>
      </w:r>
      <w:proofErr w:type="spellStart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Wolters</w:t>
      </w:r>
      <w:proofErr w:type="spellEnd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 xml:space="preserve"> </w:t>
      </w:r>
      <w:proofErr w:type="spellStart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Kluwer</w:t>
      </w:r>
      <w:proofErr w:type="spellEnd"/>
      <w:r w:rsidRPr="005A65B6">
        <w:rPr>
          <w:rFonts w:ascii="Verdana" w:eastAsia="Times New Roman" w:hAnsi="Verdana" w:cs="Times New Roman"/>
          <w:sz w:val="15"/>
          <w:szCs w:val="15"/>
          <w:lang w:val="ro-RO" w:eastAsia="ro-RO"/>
        </w:rPr>
        <w:t>.</w:t>
      </w:r>
    </w:p>
    <w:p w:rsidR="00AF0D08" w:rsidRDefault="00AF0D08"/>
    <w:sectPr w:rsidR="00AF0D08" w:rsidSect="005D7D16">
      <w:pgSz w:w="11909" w:h="16834" w:code="9"/>
      <w:pgMar w:top="1008" w:right="1008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B6"/>
    <w:rsid w:val="005A65B6"/>
    <w:rsid w:val="005D7D16"/>
    <w:rsid w:val="00951626"/>
    <w:rsid w:val="00A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B98EC-A3E7-485E-B71A-F1D7B3A4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65B6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5A65B6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A65B6"/>
  </w:style>
  <w:style w:type="character" w:customStyle="1" w:styleId="ar1">
    <w:name w:val="ar1"/>
    <w:basedOn w:val="DefaultParagraphFont"/>
    <w:rsid w:val="005A65B6"/>
    <w:rPr>
      <w:b/>
      <w:bCs/>
      <w:color w:val="0000AF"/>
      <w:sz w:val="22"/>
      <w:szCs w:val="22"/>
    </w:rPr>
  </w:style>
  <w:style w:type="character" w:customStyle="1" w:styleId="pt1">
    <w:name w:val="pt1"/>
    <w:basedOn w:val="DefaultParagraphFont"/>
    <w:rsid w:val="005A65B6"/>
    <w:rPr>
      <w:b/>
      <w:bCs/>
      <w:color w:val="8F0000"/>
    </w:rPr>
  </w:style>
  <w:style w:type="character" w:customStyle="1" w:styleId="tpt1">
    <w:name w:val="tpt1"/>
    <w:basedOn w:val="DefaultParagraphFont"/>
    <w:rsid w:val="005A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052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3604340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200980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761394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130581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84516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240498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20391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10454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279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251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82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085405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15126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526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3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25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49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43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51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15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3299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713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380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64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2524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974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943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5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45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67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52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98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103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572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15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783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30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8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453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568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040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343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83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103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303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148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936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43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64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326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238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08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301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693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441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573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394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57174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44060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657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463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05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297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46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12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51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337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81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56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18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492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56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21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808971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21151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041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58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1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876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40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31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37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43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304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01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604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305545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53189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986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831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1819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938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57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571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60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9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27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594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22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65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83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37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451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78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850443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12967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300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32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446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919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6696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05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43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2208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190547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98356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9568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56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34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832750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097589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854426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58787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24823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449897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099685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29013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527935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orkstation\sintact%204.0\cache\Legislatie\temp199586\00194990.htm" TargetMode="External"/><Relationship Id="rId13" Type="http://schemas.openxmlformats.org/officeDocument/2006/relationships/hyperlink" Target="file:///C:\Users\Workstation\sintact%204.0\cache\Legislatie\temp199586\00156791.htm" TargetMode="External"/><Relationship Id="rId18" Type="http://schemas.openxmlformats.org/officeDocument/2006/relationships/hyperlink" Target="file:///C:\Users\Workstation\sintact%204.0\cache\Legislatie\temp199586\00097746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Workstation\sintact%204.0\cache\Legislatie\temp199586\00129511.htm" TargetMode="External"/><Relationship Id="rId7" Type="http://schemas.openxmlformats.org/officeDocument/2006/relationships/hyperlink" Target="file:///C:\Users\Workstation\sintact%204.0\cache\Legislatie\temp199586\00068397.htm" TargetMode="External"/><Relationship Id="rId12" Type="http://schemas.openxmlformats.org/officeDocument/2006/relationships/hyperlink" Target="file:///C:\Users\Workstation\sintact%204.0\cache\Legislatie\temp199586\00140928.htm" TargetMode="External"/><Relationship Id="rId17" Type="http://schemas.openxmlformats.org/officeDocument/2006/relationships/hyperlink" Target="file:///C:\Users\Workstation\sintact%204.0\cache\Legislatie\temp199586\00164001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Workstation\sintact%204.0\cache\Legislatie\temp199586\00200968.htm" TargetMode="External"/><Relationship Id="rId20" Type="http://schemas.openxmlformats.org/officeDocument/2006/relationships/hyperlink" Target="file:///C:\Users\Workstation\sintact%204.0\cache\Legislatie\temp199586\00123850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Workstation\sintact%204.0\cache\Legislatie\temp199586\00140928.htm" TargetMode="External"/><Relationship Id="rId11" Type="http://schemas.openxmlformats.org/officeDocument/2006/relationships/hyperlink" Target="file:///C:\Users\Workstation\sintact%204.0\cache\Legislatie\temp199586\00156791.ht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file:///C:\Users\Workstation\sintact%204.0\cache\Legislatie\temp199586\00194990.htm" TargetMode="External"/><Relationship Id="rId23" Type="http://schemas.openxmlformats.org/officeDocument/2006/relationships/hyperlink" Target="file:///C:\Users\Workstation\sintact%204.0\cache\Legislatie\temp199586\00140928.htm" TargetMode="External"/><Relationship Id="rId10" Type="http://schemas.openxmlformats.org/officeDocument/2006/relationships/hyperlink" Target="file:///C:\Users\Workstation\sintact%204.0\cache\Legislatie\temp199586\00181780.htm" TargetMode="External"/><Relationship Id="rId19" Type="http://schemas.openxmlformats.org/officeDocument/2006/relationships/hyperlink" Target="file:///C:\Users\Workstation\sintact%204.0\cache\Legislatie\temp199586\00117068.htm" TargetMode="External"/><Relationship Id="rId4" Type="http://schemas.openxmlformats.org/officeDocument/2006/relationships/hyperlink" Target="file:///C:\Users\Workstation\sintact%204.0\cache\Legislatie\temp199586\00202413.HTML" TargetMode="External"/><Relationship Id="rId9" Type="http://schemas.openxmlformats.org/officeDocument/2006/relationships/hyperlink" Target="file:///C:\Users\Workstation\sintact%204.0\cache\Legislatie\temp199586\00200968.htm" TargetMode="External"/><Relationship Id="rId14" Type="http://schemas.openxmlformats.org/officeDocument/2006/relationships/hyperlink" Target="file:///C:\Users\Workstation\sintact%204.0\cache\Legislatie\temp199586\00181780.htm" TargetMode="External"/><Relationship Id="rId22" Type="http://schemas.openxmlformats.org/officeDocument/2006/relationships/hyperlink" Target="file:///C:\Users\Workstation\sintact%204.0\cache\Legislatie\temp199586\0018665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3803</Words>
  <Characters>23429</Characters>
  <Application>Microsoft Office Word</Application>
  <DocSecurity>0</DocSecurity>
  <Lines>478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INP</Company>
  <LinksUpToDate>false</LinksUpToDate>
  <CharactersWithSpaces>26933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</dc:creator>
  <cp:keywords/>
  <dc:description/>
  <cp:lastModifiedBy>INP</cp:lastModifiedBy>
  <cp:revision>2</cp:revision>
  <dcterms:created xsi:type="dcterms:W3CDTF">2019-07-11T13:59:00Z</dcterms:created>
  <dcterms:modified xsi:type="dcterms:W3CDTF">2019-07-11T13:59:00Z</dcterms:modified>
</cp:coreProperties>
</file>